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D2F" w:rsidRDefault="00B12C64">
      <w:pPr>
        <w:pStyle w:val="Default"/>
        <w:jc w:val="center"/>
        <w:rPr>
          <w:rFonts w:ascii="Times New Roman" w:eastAsia="Times New Roman" w:hAnsi="Times New Roman" w:cs="Times New Roman"/>
          <w:sz w:val="36"/>
          <w:szCs w:val="36"/>
        </w:rPr>
      </w:pPr>
      <w:bookmarkStart w:id="0" w:name="_GoBack"/>
      <w:bookmarkEnd w:id="0"/>
      <w:r>
        <w:rPr>
          <w:rFonts w:ascii="Verdana" w:hAnsi="Verdana"/>
          <w:b/>
          <w:bCs/>
          <w:sz w:val="32"/>
          <w:szCs w:val="32"/>
        </w:rPr>
        <w:t>Nursing Home Transition Diversion (NHTD) and Traumatic Brain Injury (TBI)Waivers</w:t>
      </w:r>
    </w:p>
    <w:p w:rsidR="00000D2F" w:rsidRDefault="00B12C64">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Who Qualifies?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1915c Medicaid waivers are designed to provide services to a specific target population and there are two distinct waivers: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Nursing Home Transition Diversion Waiver (NHTD)</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Traumatic Brain Injury Waiver (TBI)</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 xml:space="preserve">TBI - </w:t>
      </w:r>
      <w:r>
        <w:rPr>
          <w:rFonts w:ascii="Verdana" w:hAnsi="Verdana"/>
          <w:sz w:val="28"/>
          <w:szCs w:val="28"/>
        </w:rPr>
        <w:t>§Individuals between the age of 18-64 upon application that require nursing home level of care due to their traumatic brain injury (TBI)</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lang w:val="da-DK"/>
        </w:rPr>
        <w:t>NHTD-</w:t>
      </w:r>
      <w:r>
        <w:rPr>
          <w:rFonts w:ascii="Verdana" w:hAnsi="Verdana"/>
          <w:sz w:val="28"/>
          <w:szCs w:val="28"/>
        </w:rPr>
        <w:t>Individuals between the age of 18-64 upon application that have a physical disability or who are 65 or older and require nursing home level of care (NHTD).</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Both waivers are managed locally through the same Regional Resource Development Centers (RRDC) but with different staff.</w:t>
      </w:r>
    </w:p>
    <w:p w:rsidR="00000D2F" w:rsidRDefault="00B12C64">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Both waivers serve individuals residing in the community (diversions) or individuals residing in nursing homes that are seeking to move back to the community (transitions).</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What is the application process?</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Interested Parties must contact the local Regional Resource Developmental Centers (RRDC) who will conduct an intake and determine eligibility.</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The RRDC will:</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Interview potential waiver participants;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Assisting participants to access approved providers for Service Coordination;</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Review Service Plans for approval;</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Determine whether an application participant meets all non-financial requirements for the waiver;</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Maintains regional budget for waiver services; and</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Issues Notice of Decision forms to applicants to approve of deny waiver participation as necessary ongoing participations.</w:t>
      </w:r>
    </w:p>
    <w:p w:rsidR="00000D2F" w:rsidRDefault="00B12C64">
      <w:pPr>
        <w:pStyle w:val="Default"/>
        <w:ind w:left="720" w:hanging="720"/>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RRDC Contact Information by County:</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lastRenderedPageBreak/>
        <w:t> </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Erie, Chautauqua, Cattaraugus, Wyoming, Orleans and Niagara County</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Ronald Fernandez, Director RRDS-NHTD/TBI</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Main Phone Number: (716)408-3120</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Fax Number (716)882-1289</w:t>
      </w:r>
    </w:p>
    <w:p w:rsidR="00000D2F" w:rsidRDefault="000D0F67">
      <w:pPr>
        <w:pStyle w:val="Default"/>
        <w:rPr>
          <w:rFonts w:ascii="Times New Roman" w:eastAsia="Times New Roman" w:hAnsi="Times New Roman" w:cs="Times New Roman"/>
          <w:sz w:val="36"/>
          <w:szCs w:val="36"/>
          <w:u w:color="0000FF"/>
        </w:rPr>
      </w:pPr>
      <w:hyperlink r:id="rId6" w:history="1">
        <w:r w:rsidR="00B12C64">
          <w:rPr>
            <w:rStyle w:val="Hyperlink0"/>
            <w:rFonts w:ascii="Verdana" w:hAnsi="Verdana"/>
            <w:color w:val="0000FF"/>
            <w:sz w:val="28"/>
            <w:szCs w:val="28"/>
            <w:u w:color="0000FF"/>
          </w:rPr>
          <w:t>www.headwayofwny.org</w:t>
        </w:r>
      </w:hyperlink>
    </w:p>
    <w:p w:rsidR="00000D2F" w:rsidRDefault="00B12C64">
      <w:pPr>
        <w:pStyle w:val="Default"/>
        <w:rPr>
          <w:rFonts w:ascii="Times New Roman" w:eastAsia="Times New Roman" w:hAnsi="Times New Roman" w:cs="Times New Roman"/>
          <w:sz w:val="36"/>
          <w:szCs w:val="36"/>
        </w:rPr>
      </w:pPr>
      <w:r>
        <w:rPr>
          <w:rFonts w:ascii="Verdana" w:hAnsi="Verdana"/>
          <w:sz w:val="28"/>
          <w:szCs w:val="28"/>
        </w:rPr>
        <w:t>Headway of Western New York, Inc</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976 Delaware Ave,</w:t>
      </w:r>
    </w:p>
    <w:p w:rsidR="00000D2F" w:rsidRDefault="00B12C64">
      <w:pPr>
        <w:pStyle w:val="Default"/>
        <w:rPr>
          <w:rFonts w:ascii="Times New Roman" w:eastAsia="Times New Roman" w:hAnsi="Times New Roman" w:cs="Times New Roman"/>
          <w:sz w:val="36"/>
          <w:szCs w:val="36"/>
        </w:rPr>
      </w:pPr>
      <w:r>
        <w:rPr>
          <w:rFonts w:ascii="Verdana" w:hAnsi="Verdana"/>
          <w:sz w:val="28"/>
          <w:szCs w:val="28"/>
          <w:lang w:val="de-DE"/>
        </w:rPr>
        <w:t>Buffalo, NY 14209</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Ontario, Genesee and Yates</w:t>
      </w:r>
    </w:p>
    <w:p w:rsidR="00000D2F" w:rsidRDefault="00B12C64">
      <w:pPr>
        <w:pStyle w:val="Default"/>
        <w:rPr>
          <w:rFonts w:ascii="Times New Roman" w:eastAsia="Times New Roman" w:hAnsi="Times New Roman" w:cs="Times New Roman"/>
          <w:sz w:val="36"/>
          <w:szCs w:val="36"/>
        </w:rPr>
      </w:pPr>
      <w:r>
        <w:rPr>
          <w:rFonts w:ascii="Verdana" w:hAnsi="Verdana"/>
          <w:sz w:val="28"/>
          <w:szCs w:val="28"/>
          <w:lang w:val="pt-PT"/>
        </w:rPr>
        <w:t>Terri Mercado, Lead RRDS (NHTD)</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Phone Number (585)368-3562</w:t>
      </w:r>
    </w:p>
    <w:p w:rsidR="00000D2F" w:rsidRDefault="000D0F67">
      <w:pPr>
        <w:pStyle w:val="Default"/>
        <w:rPr>
          <w:rFonts w:ascii="Times New Roman" w:eastAsia="Times New Roman" w:hAnsi="Times New Roman" w:cs="Times New Roman"/>
          <w:sz w:val="36"/>
          <w:szCs w:val="36"/>
          <w:u w:color="0000FF"/>
        </w:rPr>
      </w:pPr>
      <w:hyperlink r:id="rId7" w:history="1">
        <w:r w:rsidR="00B12C64">
          <w:rPr>
            <w:rStyle w:val="Hyperlink0"/>
            <w:rFonts w:ascii="Verdana" w:hAnsi="Verdana"/>
            <w:color w:val="0000FF"/>
            <w:sz w:val="28"/>
            <w:szCs w:val="28"/>
            <w:u w:color="0000FF"/>
          </w:rPr>
          <w:t>www.unityhealth.org</w:t>
        </w:r>
      </w:hyperlink>
    </w:p>
    <w:p w:rsidR="00000D2F" w:rsidRDefault="00B12C64">
      <w:pPr>
        <w:pStyle w:val="Default"/>
        <w:rPr>
          <w:rFonts w:ascii="Times New Roman" w:eastAsia="Times New Roman" w:hAnsi="Times New Roman" w:cs="Times New Roman"/>
          <w:sz w:val="36"/>
          <w:szCs w:val="36"/>
        </w:rPr>
      </w:pPr>
      <w:r>
        <w:rPr>
          <w:rFonts w:ascii="Verdana" w:hAnsi="Verdana"/>
          <w:sz w:val="28"/>
          <w:szCs w:val="28"/>
        </w:rPr>
        <w:t>Unity Health System NHTD Waiver                                                                                    6</w:t>
      </w:r>
      <w:r>
        <w:rPr>
          <w:rFonts w:ascii="Verdana" w:hAnsi="Verdana"/>
          <w:sz w:val="18"/>
          <w:szCs w:val="18"/>
        </w:rPr>
        <w:t>th</w:t>
      </w:r>
      <w:r>
        <w:rPr>
          <w:rFonts w:ascii="Verdana" w:hAnsi="Verdana"/>
          <w:sz w:val="28"/>
          <w:szCs w:val="28"/>
        </w:rPr>
        <w:t xml:space="preserve"> Floor Unity Health – St Mary’</w:t>
      </w:r>
      <w:r>
        <w:rPr>
          <w:rFonts w:ascii="Verdana" w:hAnsi="Verdana"/>
          <w:sz w:val="28"/>
          <w:szCs w:val="28"/>
          <w:lang w:val="it-IT"/>
        </w:rPr>
        <w:t>s Campus</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89 Genesee Street                                                                </w:t>
      </w:r>
    </w:p>
    <w:p w:rsidR="00000D2F" w:rsidRDefault="00B12C64">
      <w:pPr>
        <w:pStyle w:val="Default"/>
        <w:rPr>
          <w:rFonts w:ascii="Times New Roman" w:eastAsia="Times New Roman" w:hAnsi="Times New Roman" w:cs="Times New Roman"/>
          <w:sz w:val="36"/>
          <w:szCs w:val="36"/>
        </w:rPr>
      </w:pPr>
      <w:r>
        <w:rPr>
          <w:rFonts w:ascii="Verdana" w:hAnsi="Verdana"/>
          <w:sz w:val="28"/>
          <w:szCs w:val="28"/>
          <w:lang w:val="es-ES_tradnl"/>
        </w:rPr>
        <w:t>Rochester, NY 14611</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sz w:val="28"/>
          <w:szCs w:val="28"/>
          <w:lang w:val="de-DE"/>
        </w:rPr>
        <w:t>Katie Lopez, Lead RRDZ (TBI)</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Phone number (585)368-3833</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Fax number (585)368-3567</w:t>
      </w:r>
    </w:p>
    <w:p w:rsidR="00000D2F" w:rsidRDefault="000D0F67">
      <w:pPr>
        <w:pStyle w:val="Default"/>
        <w:rPr>
          <w:rFonts w:ascii="Times New Roman" w:eastAsia="Times New Roman" w:hAnsi="Times New Roman" w:cs="Times New Roman"/>
          <w:sz w:val="36"/>
          <w:szCs w:val="36"/>
          <w:u w:color="0000FF"/>
        </w:rPr>
      </w:pPr>
      <w:hyperlink r:id="rId8" w:history="1">
        <w:r w:rsidR="00B12C64">
          <w:rPr>
            <w:rStyle w:val="Hyperlink0"/>
            <w:rFonts w:ascii="Verdana" w:hAnsi="Verdana"/>
            <w:color w:val="0000FF"/>
            <w:sz w:val="28"/>
            <w:szCs w:val="28"/>
            <w:u w:color="0000FF"/>
          </w:rPr>
          <w:t>www.unityhealth.org</w:t>
        </w:r>
      </w:hyperlink>
    </w:p>
    <w:p w:rsidR="00000D2F" w:rsidRDefault="00B12C64">
      <w:pPr>
        <w:pStyle w:val="Default"/>
        <w:rPr>
          <w:rFonts w:ascii="Times New Roman" w:eastAsia="Times New Roman" w:hAnsi="Times New Roman" w:cs="Times New Roman"/>
          <w:sz w:val="36"/>
          <w:szCs w:val="36"/>
        </w:rPr>
      </w:pPr>
      <w:r>
        <w:rPr>
          <w:rFonts w:ascii="Verdana" w:hAnsi="Verdana"/>
          <w:sz w:val="28"/>
          <w:szCs w:val="28"/>
        </w:rPr>
        <w:t xml:space="preserve">Unity Health </w:t>
      </w:r>
      <w:proofErr w:type="gramStart"/>
      <w:r>
        <w:rPr>
          <w:rFonts w:ascii="Verdana" w:hAnsi="Verdana"/>
          <w:sz w:val="28"/>
          <w:szCs w:val="28"/>
        </w:rPr>
        <w:t>System  NHTD</w:t>
      </w:r>
      <w:proofErr w:type="gramEnd"/>
      <w:r>
        <w:rPr>
          <w:rFonts w:ascii="Verdana" w:hAnsi="Verdana"/>
          <w:sz w:val="28"/>
          <w:szCs w:val="28"/>
        </w:rPr>
        <w:t xml:space="preserve"> Waiver                                                                                    6</w:t>
      </w:r>
      <w:r>
        <w:rPr>
          <w:rFonts w:ascii="Verdana" w:hAnsi="Verdana"/>
          <w:sz w:val="18"/>
          <w:szCs w:val="18"/>
        </w:rPr>
        <w:t>th</w:t>
      </w:r>
      <w:r>
        <w:rPr>
          <w:rFonts w:ascii="Verdana" w:hAnsi="Verdana"/>
          <w:sz w:val="28"/>
          <w:szCs w:val="28"/>
        </w:rPr>
        <w:t xml:space="preserve"> Floor Unity Health – St Mary’</w:t>
      </w:r>
      <w:r>
        <w:rPr>
          <w:rFonts w:ascii="Verdana" w:hAnsi="Verdana"/>
          <w:sz w:val="28"/>
          <w:szCs w:val="28"/>
          <w:lang w:val="it-IT"/>
        </w:rPr>
        <w:t>s Campus</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89 Genesee Street                                                                </w:t>
      </w:r>
    </w:p>
    <w:p w:rsidR="00000D2F" w:rsidRDefault="00B12C64">
      <w:pPr>
        <w:pStyle w:val="Default"/>
        <w:rPr>
          <w:rFonts w:ascii="Times New Roman" w:eastAsia="Times New Roman" w:hAnsi="Times New Roman" w:cs="Times New Roman"/>
          <w:sz w:val="36"/>
          <w:szCs w:val="36"/>
        </w:rPr>
      </w:pPr>
      <w:r>
        <w:rPr>
          <w:rFonts w:ascii="Verdana" w:hAnsi="Verdana"/>
          <w:sz w:val="28"/>
          <w:szCs w:val="28"/>
          <w:lang w:val="es-ES_tradnl"/>
        </w:rPr>
        <w:t>Rochester, NY 14611</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What services can I receive through this waiver?</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lastRenderedPageBreak/>
        <w:t> </w:t>
      </w:r>
    </w:p>
    <w:p w:rsidR="00000D2F" w:rsidRDefault="00B12C64">
      <w:pPr>
        <w:pStyle w:val="Default"/>
        <w:rPr>
          <w:rFonts w:ascii="Times New Roman" w:eastAsia="Times New Roman" w:hAnsi="Times New Roman" w:cs="Times New Roman"/>
          <w:sz w:val="36"/>
          <w:szCs w:val="36"/>
        </w:rPr>
      </w:pPr>
      <w:r>
        <w:rPr>
          <w:rFonts w:ascii="Verdana" w:hAnsi="Verdana"/>
          <w:b/>
          <w:bCs/>
          <w:i/>
          <w:iCs/>
          <w:sz w:val="28"/>
          <w:szCs w:val="28"/>
        </w:rPr>
        <w:t>Waiver services are not provided in nursing homes.</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lang w:val="nl-NL"/>
        </w:rPr>
        <w:t>Care Coordination:</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b/>
          <w:bCs/>
          <w:sz w:val="28"/>
          <w:szCs w:val="28"/>
        </w:rPr>
        <w:t>Waiver Services: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Assistive Devise / Technology</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Environmental Modifications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lang w:val="fr-FR"/>
        </w:rPr>
        <w:t xml:space="preserve">Transportation </w:t>
      </w:r>
      <w:r>
        <w:rPr>
          <w:rFonts w:ascii="Verdana" w:hAnsi="Verdana"/>
          <w:sz w:val="28"/>
          <w:szCs w:val="28"/>
        </w:rPr>
        <w:t>– Non-Emergency Medical</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Congregated and/or home-delivered meal services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Supervision and or cueing</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Moving Assistance</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Community Transitional Services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Those available for long term care</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Community Integrated Counseling</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Independent Living Skills Training</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Positive Behavioral Intervention and Support Services</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Structure day program</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lang w:val="nl-NL"/>
        </w:rPr>
        <w:t>Service Coordination</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i/>
          <w:iCs/>
          <w:sz w:val="28"/>
          <w:szCs w:val="28"/>
        </w:rPr>
        <w:t>Current waiver services that will not be added to the existing managed care benefits package(s) because comparable services are currently approved under the current 1115 waiver or are available to members through other resources include:</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Nutrition/Nutritional Counseling;</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Respiratory Behavior Therapy;</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lang w:val="da-DK"/>
        </w:rPr>
        <w:t>Respite;</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Wellness Counseling;</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Home Visits by Medical Personnel;</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lang w:val="nl-NL"/>
        </w:rPr>
        <w:t>Peer Mentoring; and</w:t>
      </w:r>
    </w:p>
    <w:p w:rsidR="00000D2F" w:rsidRDefault="00B12C64">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Substance Use Counseling.</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Times New Roman" w:hAnsi="Times New Roman"/>
          <w:sz w:val="36"/>
          <w:szCs w:val="36"/>
        </w:rPr>
        <w:t> </w:t>
      </w:r>
    </w:p>
    <w:p w:rsidR="00000D2F" w:rsidRDefault="00B12C64">
      <w:pPr>
        <w:pStyle w:val="Default"/>
        <w:rPr>
          <w:rFonts w:ascii="Times New Roman" w:eastAsia="Times New Roman" w:hAnsi="Times New Roman" w:cs="Times New Roman"/>
          <w:sz w:val="36"/>
          <w:szCs w:val="36"/>
        </w:rPr>
      </w:pPr>
      <w:r>
        <w:rPr>
          <w:rFonts w:ascii="Verdana" w:hAnsi="Verdana"/>
          <w:sz w:val="28"/>
          <w:szCs w:val="28"/>
        </w:rPr>
        <w:t>Updates to come January of 2019.</w:t>
      </w:r>
    </w:p>
    <w:p w:rsidR="00000D2F" w:rsidRDefault="00B12C64">
      <w:pPr>
        <w:pStyle w:val="Default"/>
      </w:pPr>
      <w:r>
        <w:rPr>
          <w:rFonts w:ascii="Times New Roman" w:hAnsi="Times New Roman"/>
          <w:sz w:val="36"/>
          <w:szCs w:val="36"/>
        </w:rPr>
        <w:t> </w:t>
      </w:r>
    </w:p>
    <w:sectPr w:rsidR="00000D2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67" w:rsidRDefault="000D0F67">
      <w:r>
        <w:separator/>
      </w:r>
    </w:p>
  </w:endnote>
  <w:endnote w:type="continuationSeparator" w:id="0">
    <w:p w:rsidR="000D0F67" w:rsidRDefault="000D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2F" w:rsidRDefault="00000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67" w:rsidRDefault="000D0F67">
      <w:r>
        <w:separator/>
      </w:r>
    </w:p>
  </w:footnote>
  <w:footnote w:type="continuationSeparator" w:id="0">
    <w:p w:rsidR="000D0F67" w:rsidRDefault="000D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2F" w:rsidRDefault="00000D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2F"/>
    <w:rsid w:val="00000D2F"/>
    <w:rsid w:val="000D0F67"/>
    <w:rsid w:val="001359B9"/>
    <w:rsid w:val="00667C0F"/>
    <w:rsid w:val="00B1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E3C03-7972-504D-B3CB-6EFE237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tyhealth.org/" TargetMode="External"/><Relationship Id="rId3" Type="http://schemas.openxmlformats.org/officeDocument/2006/relationships/webSettings" Target="webSettings.xml"/><Relationship Id="rId7" Type="http://schemas.openxmlformats.org/officeDocument/2006/relationships/hyperlink" Target="http://www.unityhealt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dwayofwn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Colpoys</dc:creator>
  <cp:lastModifiedBy>dcolpoys</cp:lastModifiedBy>
  <cp:revision>2</cp:revision>
  <dcterms:created xsi:type="dcterms:W3CDTF">2018-03-07T17:32:00Z</dcterms:created>
  <dcterms:modified xsi:type="dcterms:W3CDTF">2018-03-07T17:32:00Z</dcterms:modified>
</cp:coreProperties>
</file>